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3" w:rsidRDefault="005C6C05" w:rsidP="005C6C05">
      <w:pPr>
        <w:pStyle w:val="1"/>
        <w:shd w:val="clear" w:color="auto" w:fill="auto"/>
        <w:spacing w:after="200" w:line="240" w:lineRule="auto"/>
      </w:pPr>
      <w:r>
        <w:t xml:space="preserve">                                             ПРОЕКТ</w:t>
      </w:r>
    </w:p>
    <w:p w:rsidR="00044C13" w:rsidRDefault="00044C13">
      <w:pPr>
        <w:pStyle w:val="11"/>
        <w:keepNext/>
        <w:keepLines/>
        <w:shd w:val="clear" w:color="auto" w:fill="auto"/>
        <w:spacing w:after="480" w:line="262" w:lineRule="auto"/>
        <w:ind w:left="0"/>
        <w:jc w:val="center"/>
      </w:pPr>
      <w:bookmarkStart w:id="0" w:name="bookmark0"/>
    </w:p>
    <w:p w:rsidR="000D5A5D" w:rsidRDefault="00CD32D4">
      <w:pPr>
        <w:pStyle w:val="11"/>
        <w:keepNext/>
        <w:keepLines/>
        <w:shd w:val="clear" w:color="auto" w:fill="auto"/>
        <w:spacing w:after="480" w:line="262" w:lineRule="auto"/>
        <w:ind w:left="0"/>
        <w:jc w:val="center"/>
      </w:pPr>
      <w:r>
        <w:t>Положение об оплате труда работников «Хозяйственная группа»</w:t>
      </w:r>
      <w:r>
        <w:br/>
        <w:t xml:space="preserve">Администрации </w:t>
      </w:r>
      <w:r w:rsidR="00044C13">
        <w:t xml:space="preserve"> Луковского сельсовета </w:t>
      </w:r>
      <w:r>
        <w:t>Панкрушихинского района</w:t>
      </w:r>
      <w:bookmarkEnd w:id="0"/>
    </w:p>
    <w:p w:rsidR="000D5A5D" w:rsidRDefault="00CD32D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7"/>
        </w:tabs>
        <w:spacing w:after="180" w:line="257" w:lineRule="auto"/>
        <w:ind w:left="3440"/>
      </w:pPr>
      <w:bookmarkStart w:id="1" w:name="bookmark1"/>
      <w:r>
        <w:t>Общие положения</w:t>
      </w:r>
      <w:bookmarkEnd w:id="1"/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20"/>
      </w:pPr>
      <w:r>
        <w:t xml:space="preserve">Настоящее Положение о новой системе оплаты труда работников </w:t>
      </w:r>
      <w:r w:rsidR="00044C13">
        <w:t xml:space="preserve">Администрации Луковского сельсовета Панкрушихинского района </w:t>
      </w:r>
      <w:r>
        <w:t xml:space="preserve"> «Хозяйственная группа» разработано в соответствии со статьей 144 Трудового кодекса Российской Федерации, Федеральным законом от 06.10.2003 </w:t>
      </w:r>
      <w:r>
        <w:rPr>
          <w:lang w:val="en-US" w:eastAsia="en-US" w:bidi="en-US"/>
        </w:rPr>
        <w:t>N</w:t>
      </w:r>
      <w:r w:rsidRPr="00262EE2">
        <w:rPr>
          <w:lang w:eastAsia="en-US" w:bidi="en-US"/>
        </w:rPr>
        <w:t xml:space="preserve"> </w:t>
      </w:r>
      <w: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044C13">
        <w:t xml:space="preserve"> Луковский сельсовет</w:t>
      </w:r>
      <w:r>
        <w:t xml:space="preserve"> Панкрушихинск</w:t>
      </w:r>
      <w:r w:rsidR="00044C13">
        <w:t xml:space="preserve">ого </w:t>
      </w:r>
      <w:r>
        <w:t>район</w:t>
      </w:r>
      <w:r w:rsidR="00044C13">
        <w:t>а</w:t>
      </w:r>
      <w:r>
        <w:t>.</w:t>
      </w:r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ind w:firstLine="720"/>
      </w:pPr>
      <w:r>
        <w:t>Настоящее Положение устанавливает общие требования к системе оплаты труда, установлению премиальных и компенсационных выплат для работников «Хозяйственная группа».</w:t>
      </w:r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firstLine="720"/>
      </w:pPr>
      <w:r>
        <w:t>Настоящее Положение определяет:</w:t>
      </w:r>
    </w:p>
    <w:p w:rsidR="000D5A5D" w:rsidRDefault="00CD32D4">
      <w:pPr>
        <w:pStyle w:val="1"/>
        <w:numPr>
          <w:ilvl w:val="2"/>
          <w:numId w:val="1"/>
        </w:numPr>
        <w:shd w:val="clear" w:color="auto" w:fill="auto"/>
        <w:tabs>
          <w:tab w:val="left" w:pos="1557"/>
        </w:tabs>
        <w:ind w:firstLine="720"/>
      </w:pPr>
      <w:r>
        <w:t xml:space="preserve">Размеры должностных окладов работникам </w:t>
      </w:r>
      <w:r w:rsidR="00044C13">
        <w:t>администрации Луковского сельсовета Панкрушихинского района</w:t>
      </w:r>
    </w:p>
    <w:p w:rsidR="000D5A5D" w:rsidRDefault="00CD32D4">
      <w:pPr>
        <w:pStyle w:val="1"/>
        <w:numPr>
          <w:ilvl w:val="2"/>
          <w:numId w:val="1"/>
        </w:numPr>
        <w:shd w:val="clear" w:color="auto" w:fill="auto"/>
        <w:tabs>
          <w:tab w:val="left" w:pos="1557"/>
        </w:tabs>
        <w:ind w:firstLine="720"/>
      </w:pPr>
      <w:r>
        <w:t>Условия осуществления премиальных выплат и выплат компенсационного характера.</w:t>
      </w:r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after="300"/>
        <w:ind w:firstLine="720"/>
        <w:jc w:val="left"/>
      </w:pPr>
      <w:r>
        <w:t>Ежемесячная заработная плата работника, полностью отработавшего за этот период норму рабочего времени' и выполнившего нормы труда (трудовые обязанности), не может быть ниже минимального размера оплаты труда, установленного в Алтайском крае. Заработная плата для работников предельными размерами не ограничивается.</w:t>
      </w:r>
    </w:p>
    <w:p w:rsidR="000D5A5D" w:rsidRDefault="00CD32D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96"/>
        </w:tabs>
        <w:spacing w:after="300" w:line="257" w:lineRule="auto"/>
        <w:ind w:left="1240"/>
      </w:pPr>
      <w:bookmarkStart w:id="2" w:name="bookmark2"/>
      <w:r>
        <w:t>Оплата труда работников «Хозяйственная группа»</w:t>
      </w:r>
      <w:bookmarkEnd w:id="2"/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spacing w:line="262" w:lineRule="auto"/>
        <w:ind w:firstLine="720"/>
      </w:pPr>
      <w:r>
        <w:t>Оплата труда работников состоит из должностного оклада в соответствии с занимаемой должностью, надбавок, компенсационных и премиальных выплат.</w:t>
      </w:r>
    </w:p>
    <w:p w:rsidR="000D5A5D" w:rsidRDefault="00CD32D4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spacing w:after="260" w:line="262" w:lineRule="auto"/>
        <w:ind w:firstLine="720"/>
      </w:pPr>
      <w:r>
        <w:t>Должностной оклад работников учреждения устанавливается в следующих размерах:</w:t>
      </w:r>
    </w:p>
    <w:tbl>
      <w:tblPr>
        <w:tblpPr w:leftFromText="180" w:rightFromText="180" w:vertAnchor="text" w:horzAnchor="margin" w:tblpY="-22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6"/>
        <w:gridCol w:w="3528"/>
      </w:tblGrid>
      <w:tr w:rsidR="00EB57D4" w:rsidTr="00EB57D4">
        <w:trPr>
          <w:trHeight w:hRule="exact" w:val="370"/>
          <w:tblHeader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7D4" w:rsidRDefault="00EB57D4" w:rsidP="00EB57D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7D4" w:rsidRDefault="00EB57D4" w:rsidP="00EB57D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Оклад (руб)</w:t>
            </w:r>
          </w:p>
        </w:tc>
      </w:tr>
      <w:tr w:rsidR="006D5D2C" w:rsidTr="0006586B">
        <w:trPr>
          <w:trHeight w:hRule="exact" w:val="63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D2C" w:rsidRDefault="006D5D2C" w:rsidP="006D5D2C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водитель автомобиля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D2C" w:rsidRDefault="006D5D2C" w:rsidP="006D5D2C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2418</w:t>
            </w:r>
          </w:p>
        </w:tc>
      </w:tr>
      <w:tr w:rsidR="006D5D2C" w:rsidTr="0006586B">
        <w:trPr>
          <w:trHeight w:val="811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D5D2C" w:rsidRDefault="006D5D2C" w:rsidP="0006586B">
            <w:pPr>
              <w:pStyle w:val="a5"/>
              <w:ind w:firstLine="0"/>
              <w:jc w:val="left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D2C" w:rsidRDefault="006D5D2C" w:rsidP="00EB57D4">
            <w:pPr>
              <w:pStyle w:val="a5"/>
              <w:jc w:val="left"/>
            </w:pPr>
          </w:p>
        </w:tc>
      </w:tr>
      <w:tr w:rsidR="00EB57D4" w:rsidTr="0006586B">
        <w:trPr>
          <w:trHeight w:val="80"/>
        </w:trPr>
        <w:tc>
          <w:tcPr>
            <w:tcW w:w="6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7D4" w:rsidRDefault="0006586B" w:rsidP="00EB57D4">
            <w:pPr>
              <w:pStyle w:val="a5"/>
              <w:jc w:val="left"/>
            </w:pPr>
            <w:r>
              <w:t>уборщик служебных помещений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D4" w:rsidRDefault="0006586B" w:rsidP="00EB57D4">
            <w:pPr>
              <w:pStyle w:val="a5"/>
              <w:jc w:val="left"/>
            </w:pPr>
            <w:r>
              <w:t>1907</w:t>
            </w:r>
          </w:p>
        </w:tc>
      </w:tr>
    </w:tbl>
    <w:p w:rsidR="00262EE2" w:rsidRDefault="00523648" w:rsidP="00262EE2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95pt;margin-top:363.6pt;width:481.2pt;height:100.1pt;z-index:-251654144;mso-wrap-distance-top:8pt;mso-wrap-distance-bottom:10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104"/>
                    <w:gridCol w:w="2520"/>
                  </w:tblGrid>
                  <w:tr w:rsidR="00262EE2">
                    <w:trPr>
                      <w:trHeight w:hRule="exact" w:val="336"/>
                      <w:tblHeader/>
                    </w:trPr>
                    <w:tc>
                      <w:tcPr>
                        <w:tcW w:w="7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262EE2">
                        <w:pPr>
                          <w:pStyle w:val="a5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t>Наименование должности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262EE2">
                        <w:pPr>
                          <w:pStyle w:val="a5"/>
                          <w:shd w:val="clear" w:color="auto" w:fill="auto"/>
                          <w:spacing w:line="240" w:lineRule="auto"/>
                          <w:ind w:right="80" w:firstLine="0"/>
                          <w:jc w:val="center"/>
                        </w:pPr>
                        <w:r>
                          <w:t>( % ) от оклада</w:t>
                        </w:r>
                      </w:p>
                    </w:tc>
                  </w:tr>
                  <w:tr w:rsidR="00262EE2" w:rsidTr="006D5D2C">
                    <w:trPr>
                      <w:trHeight w:val="491"/>
                    </w:trPr>
                    <w:tc>
                      <w:tcPr>
                        <w:tcW w:w="71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bottom"/>
                      </w:tcPr>
                      <w:p w:rsidR="00262EE2" w:rsidRDefault="006D5D2C" w:rsidP="006D5D2C">
                        <w:pPr>
                          <w:pStyle w:val="a5"/>
                          <w:tabs>
                            <w:tab w:val="left" w:pos="6168"/>
                          </w:tabs>
                        </w:pPr>
                        <w:r>
                          <w:t>водитель автомобиля</w:t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6D5D2C" w:rsidP="006D5D2C">
                        <w:pPr>
                          <w:pStyle w:val="a5"/>
                          <w:jc w:val="left"/>
                        </w:pPr>
                        <w:r>
                          <w:t>до 110%</w:t>
                        </w:r>
                      </w:p>
                    </w:tc>
                  </w:tr>
                  <w:tr w:rsidR="00262EE2">
                    <w:trPr>
                      <w:trHeight w:hRule="exact" w:val="173"/>
                    </w:trPr>
                    <w:tc>
                      <w:tcPr>
                        <w:tcW w:w="7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6D5D2C">
                        <w:pPr>
                          <w:pStyle w:val="a5"/>
                          <w:shd w:val="clear" w:color="auto" w:fill="auto"/>
                          <w:spacing w:line="240" w:lineRule="auto"/>
                          <w:ind w:firstLine="0"/>
                        </w:pPr>
                        <w:r>
                          <w:t xml:space="preserve">       уборщик служебных помещений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62EE2" w:rsidRDefault="00262E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62EE2" w:rsidTr="006D5D2C">
                    <w:trPr>
                      <w:trHeight w:val="255"/>
                    </w:trPr>
                    <w:tc>
                      <w:tcPr>
                        <w:tcW w:w="71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6D5D2C" w:rsidP="006D5D2C">
                        <w:pPr>
                          <w:pStyle w:val="a5"/>
                          <w:tabs>
                            <w:tab w:val="left" w:pos="6187"/>
                          </w:tabs>
                        </w:pPr>
                        <w:r>
                          <w:t>уборщик служебных помещений</w:t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62EE2" w:rsidRDefault="006D5D2C" w:rsidP="006D5D2C">
                        <w:pPr>
                          <w:pStyle w:val="a5"/>
                          <w:jc w:val="left"/>
                        </w:pPr>
                        <w:r>
                          <w:t>до 70%</w:t>
                        </w:r>
                      </w:p>
                    </w:tc>
                  </w:tr>
                </w:tbl>
                <w:p w:rsidR="00262EE2" w:rsidRDefault="00262EE2" w:rsidP="00262EE2"/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10.15pt;margin-top:545.05pt;width:471.1pt;height:50.4pt;z-index:-251652096;mso-wrap-distance-left:0;mso-wrap-distance-right:0;mso-position-horizontal-relative:margin;mso-position-vertical-relative:text" filled="f" stroked="f">
            <v:textbox style="mso-fit-shape-to-text:t" inset="0,0,0,0">
              <w:txbxContent>
                <w:p w:rsidR="00262EE2" w:rsidRDefault="00262EE2" w:rsidP="00262EE2">
                  <w:pPr>
                    <w:pStyle w:val="a7"/>
                    <w:shd w:val="clear" w:color="auto" w:fill="auto"/>
                  </w:pPr>
                  <w:r>
                    <w:t>4.1. В целях поощрения работников за своевременное, добросовестное и качественное выполнение обязанностей, предусмотренных должностной инструкцией устанавливаются премии:</w:t>
                  </w:r>
                </w:p>
              </w:txbxContent>
            </v:textbox>
            <w10:wrap type="topAndBottom" anchorx="margin"/>
          </v:shape>
        </w:pict>
      </w:r>
    </w:p>
    <w:p w:rsidR="00262EE2" w:rsidRDefault="00262EE2" w:rsidP="00262EE2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line="252" w:lineRule="auto"/>
        <w:ind w:left="240" w:firstLine="700"/>
      </w:pPr>
      <w:r>
        <w:t>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262EE2" w:rsidRDefault="00262EE2" w:rsidP="00262EE2">
      <w:pPr>
        <w:pStyle w:val="1"/>
        <w:numPr>
          <w:ilvl w:val="0"/>
          <w:numId w:val="2"/>
        </w:numPr>
        <w:shd w:val="clear" w:color="auto" w:fill="auto"/>
        <w:tabs>
          <w:tab w:val="left" w:pos="1666"/>
        </w:tabs>
        <w:spacing w:after="320" w:line="252" w:lineRule="auto"/>
        <w:ind w:left="240" w:firstLine="700"/>
      </w:pPr>
      <w:r>
        <w:t>Работникам могут выплачиваться премиальные выплаты, предусмотренные разделом 4 настоящего Положения.</w:t>
      </w:r>
    </w:p>
    <w:p w:rsidR="00262EE2" w:rsidRDefault="00262EE2" w:rsidP="00262EE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22"/>
        </w:tabs>
        <w:spacing w:after="0" w:line="240" w:lineRule="auto"/>
        <w:ind w:left="2540" w:right="2240" w:firstLine="120"/>
      </w:pPr>
      <w:r>
        <w:t>Порядок и условия установления выплат компенсационного характера</w:t>
      </w:r>
    </w:p>
    <w:p w:rsidR="00262EE2" w:rsidRDefault="00262EE2" w:rsidP="00262EE2">
      <w:pPr>
        <w:pStyle w:val="1"/>
        <w:shd w:val="clear" w:color="auto" w:fill="auto"/>
        <w:spacing w:line="262" w:lineRule="auto"/>
        <w:ind w:left="8460" w:firstLine="0"/>
        <w:jc w:val="left"/>
      </w:pPr>
      <w:r>
        <w:rPr>
          <w:color w:val="8B7174"/>
        </w:rPr>
        <w:t>-/</w:t>
      </w:r>
    </w:p>
    <w:p w:rsidR="00262EE2" w:rsidRDefault="00262EE2" w:rsidP="00262EE2">
      <w:pPr>
        <w:pStyle w:val="1"/>
        <w:numPr>
          <w:ilvl w:val="1"/>
          <w:numId w:val="3"/>
        </w:numPr>
        <w:shd w:val="clear" w:color="auto" w:fill="auto"/>
        <w:tabs>
          <w:tab w:val="left" w:pos="1882"/>
        </w:tabs>
        <w:spacing w:line="262" w:lineRule="auto"/>
        <w:ind w:left="240" w:firstLine="700"/>
      </w:pPr>
      <w:r>
        <w:t>Размеры компенсационных выплат устанавливаются работодателем в соответствии с Трудовым кодексом Российской Федерации и иными нормативными правовыми актами, содержащими нормы трудового права, коллективными договорами, соглашениями, локальными нормативными актами (надбавки за особые условия труда).</w:t>
      </w:r>
    </w:p>
    <w:p w:rsidR="00262EE2" w:rsidRDefault="00523648" w:rsidP="00262EE2">
      <w:pPr>
        <w:pStyle w:val="1"/>
        <w:numPr>
          <w:ilvl w:val="1"/>
          <w:numId w:val="3"/>
        </w:numPr>
        <w:shd w:val="clear" w:color="auto" w:fill="auto"/>
        <w:tabs>
          <w:tab w:val="left" w:pos="1480"/>
        </w:tabs>
        <w:spacing w:before="120" w:after="320" w:line="240" w:lineRule="auto"/>
        <w:ind w:left="240" w:firstLine="700"/>
      </w:pPr>
      <w:r>
        <w:pict>
          <v:shape id="_x0000_s1028" type="#_x0000_t202" style="position:absolute;left:0;text-align:left;margin-left:.05pt;margin-top:251.65pt;width:482.1pt;height:108pt;z-index:-251653120;mso-wrap-distance-top:56.75pt;mso-wrap-distance-right:9.25pt;mso-wrap-distance-bottom:1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99"/>
                    <w:gridCol w:w="2520"/>
                  </w:tblGrid>
                  <w:tr w:rsidR="00262EE2">
                    <w:trPr>
                      <w:trHeight w:hRule="exact" w:val="346"/>
                      <w:tblHeader/>
                    </w:trPr>
                    <w:tc>
                      <w:tcPr>
                        <w:tcW w:w="7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262EE2">
                        <w:pPr>
                          <w:pStyle w:val="a5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t>Наименование должности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262EE2">
                        <w:pPr>
                          <w:pStyle w:val="a5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t>% от оклада</w:t>
                        </w:r>
                      </w:p>
                    </w:tc>
                  </w:tr>
                  <w:tr w:rsidR="00262EE2">
                    <w:trPr>
                      <w:trHeight w:hRule="exact" w:val="120"/>
                    </w:trPr>
                    <w:tc>
                      <w:tcPr>
                        <w:tcW w:w="7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62EE2" w:rsidRDefault="00262E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62EE2" w:rsidRDefault="00262E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62EE2" w:rsidTr="006D5D2C">
                    <w:trPr>
                      <w:trHeight w:val="99"/>
                    </w:trPr>
                    <w:tc>
                      <w:tcPr>
                        <w:tcW w:w="7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62EE2" w:rsidRDefault="006D5D2C" w:rsidP="006D5D2C">
                        <w:pPr>
                          <w:pStyle w:val="a5"/>
                          <w:tabs>
                            <w:tab w:val="left" w:pos="5966"/>
                          </w:tabs>
                        </w:pPr>
                        <w:r>
                          <w:t>водитель автомобиля</w:t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62EE2" w:rsidRDefault="006D5D2C" w:rsidP="006D5D2C">
                        <w:pPr>
                          <w:pStyle w:val="a5"/>
                          <w:jc w:val="left"/>
                        </w:pPr>
                        <w:r>
                          <w:t>до 180%</w:t>
                        </w:r>
                      </w:p>
                    </w:tc>
                  </w:tr>
                  <w:tr w:rsidR="006D5D2C" w:rsidTr="006D5D2C">
                    <w:trPr>
                      <w:trHeight w:val="70"/>
                    </w:trPr>
                    <w:tc>
                      <w:tcPr>
                        <w:tcW w:w="70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6D5D2C" w:rsidRDefault="006D5D2C" w:rsidP="006D5D2C">
                        <w:pPr>
                          <w:pStyle w:val="a5"/>
                          <w:tabs>
                            <w:tab w:val="left" w:pos="5966"/>
                          </w:tabs>
                          <w:ind w:firstLine="0"/>
                        </w:pPr>
                        <w:r>
                          <w:tab/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D5D2C" w:rsidRDefault="006D5D2C" w:rsidP="006D5D2C">
                        <w:pPr>
                          <w:pStyle w:val="a5"/>
                          <w:jc w:val="left"/>
                        </w:pPr>
                      </w:p>
                    </w:tc>
                  </w:tr>
                  <w:tr w:rsidR="00262EE2" w:rsidTr="006D5D2C">
                    <w:trPr>
                      <w:trHeight w:val="80"/>
                    </w:trPr>
                    <w:tc>
                      <w:tcPr>
                        <w:tcW w:w="7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62EE2" w:rsidRDefault="006D5D2C" w:rsidP="006D5D2C">
                        <w:pPr>
                          <w:pStyle w:val="a5"/>
                          <w:tabs>
                            <w:tab w:val="left" w:pos="5866"/>
                          </w:tabs>
                          <w:ind w:firstLine="0"/>
                        </w:pPr>
                        <w:r>
                          <w:t xml:space="preserve">       уборщик служебных помещений</w:t>
                        </w:r>
                        <w:r>
                          <w:tab/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62EE2" w:rsidRDefault="006D5D2C" w:rsidP="006D5D2C">
                        <w:pPr>
                          <w:pStyle w:val="a5"/>
                          <w:jc w:val="left"/>
                        </w:pPr>
                        <w:r>
                          <w:t>до 140%</w:t>
                        </w:r>
                      </w:p>
                    </w:tc>
                  </w:tr>
                </w:tbl>
                <w:p w:rsidR="00262EE2" w:rsidRDefault="00262EE2" w:rsidP="00262EE2"/>
              </w:txbxContent>
            </v:textbox>
            <w10:wrap type="topAndBottom" anchorx="margin"/>
          </v:shape>
        </w:pict>
      </w:r>
      <w:r w:rsidR="00262EE2">
        <w:t>Районный коэффициент - 25%.'</w:t>
      </w:r>
    </w:p>
    <w:p w:rsidR="00262EE2" w:rsidRDefault="00262EE2" w:rsidP="00262EE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28"/>
        </w:tabs>
        <w:spacing w:after="120" w:line="240" w:lineRule="auto"/>
        <w:ind w:left="2080"/>
      </w:pPr>
      <w:r>
        <w:t>Порядок и условия премиальных выплат</w:t>
      </w:r>
    </w:p>
    <w:p w:rsidR="00262EE2" w:rsidRDefault="00262EE2" w:rsidP="00262EE2">
      <w:pPr>
        <w:pStyle w:val="1"/>
        <w:numPr>
          <w:ilvl w:val="0"/>
          <w:numId w:val="4"/>
        </w:numPr>
        <w:shd w:val="clear" w:color="auto" w:fill="auto"/>
        <w:tabs>
          <w:tab w:val="left" w:pos="1452"/>
        </w:tabs>
        <w:spacing w:line="254" w:lineRule="auto"/>
        <w:ind w:firstLine="720"/>
        <w:jc w:val="left"/>
      </w:pPr>
      <w:r>
        <w:t xml:space="preserve">Премиальные выплаты по итогам работы </w:t>
      </w:r>
      <w:r>
        <w:rPr>
          <w:b/>
          <w:bCs/>
        </w:rPr>
        <w:t xml:space="preserve">за </w:t>
      </w:r>
      <w:r>
        <w:t xml:space="preserve">месяц определяется в </w:t>
      </w:r>
      <w:r>
        <w:lastRenderedPageBreak/>
        <w:t>зависимости от результатов деятельности и оценивается по следующим показателям: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19"/>
        </w:tabs>
        <w:spacing w:line="254" w:lineRule="auto"/>
        <w:ind w:firstLine="720"/>
        <w:jc w:val="left"/>
      </w:pPr>
      <w:r>
        <w:t>заведующему хозяйством, работникам, осуществляющим профессиональную деятельность по профессиям рабочих за степень сложности, важность, качество® своевременность выполнения заданий, оперативность и профессионализм в решении вопросов, входящих в их компетенцию, в подготовкой ведение документов, выполнении поручений 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34"/>
        </w:tabs>
        <w:spacing w:line="254" w:lineRule="auto"/>
        <w:ind w:firstLine="720"/>
        <w:jc w:val="left"/>
      </w:pPr>
      <w:r>
        <w:t>водителям автомобилей за своевременное, добросовестное.и качественное выполнение обязанностей, предусмотренных должностной инструкцией, за расширение зон обслуживания (выполнение обязанностей по поддержанию автомобиля в надлежащем санитарном состоянии, включая мойку автомобиля);</w:t>
      </w:r>
    </w:p>
    <w:p w:rsidR="00262EE2" w:rsidRDefault="00262EE2" w:rsidP="00262EE2">
      <w:pPr>
        <w:pStyle w:val="1"/>
        <w:numPr>
          <w:ilvl w:val="0"/>
          <w:numId w:val="4"/>
        </w:numPr>
        <w:shd w:val="clear" w:color="auto" w:fill="auto"/>
        <w:tabs>
          <w:tab w:val="left" w:pos="1447"/>
        </w:tabs>
        <w:spacing w:line="254" w:lineRule="auto"/>
        <w:ind w:firstLine="720"/>
      </w:pPr>
      <w:r>
        <w:t>Премиальные выплаты по итогам работы за месяц определяется в зависимости от результатов деятельности и оценивается по следующим показателям: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line="254" w:lineRule="auto"/>
        <w:ind w:firstLine="720"/>
        <w:jc w:val="left"/>
      </w:pPr>
      <w:r>
        <w:t>степень сложности и важности выполняемых порученных заданий;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14"/>
        </w:tabs>
        <w:spacing w:line="254" w:lineRule="auto"/>
        <w:ind w:firstLine="720"/>
        <w:jc w:val="left"/>
      </w:pPr>
      <w:r>
        <w:t>выполнение порученной работы, связанной с обеспечением рабочего процесса или уставной деятельности учреждения;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line="254" w:lineRule="auto"/>
        <w:ind w:firstLine="720"/>
        <w:jc w:val="left"/>
      </w:pPr>
      <w:r>
        <w:t>соблюдение трудового распорядка;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line="254" w:lineRule="auto"/>
        <w:ind w:firstLine="720"/>
        <w:jc w:val="left"/>
      </w:pPr>
      <w:r>
        <w:t>участие в выполнении важных работ, мероприятий.</w:t>
      </w:r>
    </w:p>
    <w:p w:rsidR="00262EE2" w:rsidRDefault="00262EE2" w:rsidP="00262EE2">
      <w:pPr>
        <w:pStyle w:val="1"/>
        <w:numPr>
          <w:ilvl w:val="0"/>
          <w:numId w:val="6"/>
        </w:numPr>
        <w:shd w:val="clear" w:color="auto" w:fill="auto"/>
        <w:tabs>
          <w:tab w:val="left" w:pos="1447"/>
        </w:tabs>
        <w:spacing w:after="200" w:line="254" w:lineRule="auto"/>
        <w:ind w:firstLine="720"/>
        <w:jc w:val="left"/>
      </w:pPr>
      <w:r>
        <w:t>Лишение премиальных выплат работникам или снижение размера производится в случаях: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58"/>
        </w:tabs>
        <w:spacing w:after="180" w:line="269" w:lineRule="auto"/>
        <w:ind w:firstLine="720"/>
        <w:jc w:val="left"/>
      </w:pPr>
      <w:r>
        <w:t>невыполнение или несвоевременного выполнения распоряжений и поручений руководства;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after="180" w:line="254" w:lineRule="auto"/>
        <w:ind w:firstLine="720"/>
        <w:jc w:val="left"/>
      </w:pPr>
      <w:r>
        <w:t>низкой результативности работы;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after="180" w:line="254" w:lineRule="auto"/>
        <w:ind w:firstLine="720"/>
        <w:jc w:val="left"/>
      </w:pPr>
      <w:r>
        <w:t>нарушения исполнительской дисциплины;</w:t>
      </w:r>
    </w:p>
    <w:p w:rsidR="00262EE2" w:rsidRDefault="00262EE2" w:rsidP="00262EE2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after="200" w:line="254" w:lineRule="auto"/>
        <w:ind w:firstLine="720"/>
        <w:jc w:val="left"/>
      </w:pPr>
      <w:r>
        <w:t>нарушение трудовой дисциплины.</w:t>
      </w:r>
    </w:p>
    <w:p w:rsidR="00262EE2" w:rsidRDefault="00262EE2" w:rsidP="00262EE2">
      <w:pPr>
        <w:pStyle w:val="1"/>
        <w:numPr>
          <w:ilvl w:val="0"/>
          <w:numId w:val="6"/>
        </w:numPr>
        <w:shd w:val="clear" w:color="auto" w:fill="auto"/>
        <w:tabs>
          <w:tab w:val="left" w:pos="1310"/>
        </w:tabs>
        <w:spacing w:after="180" w:line="259" w:lineRule="auto"/>
        <w:ind w:firstLine="720"/>
      </w:pPr>
      <w:r>
        <w:t>Премиальные выплаты работникам осуществляется на основании приказа руководителя учреждения с указанием в нём конкретных размеров. В случае уменьшении размера (лишения), работникам указываются конкретные причины, ставшие основанием для принятия такого решения.</w:t>
      </w:r>
    </w:p>
    <w:p w:rsidR="00262EE2" w:rsidRDefault="00262EE2" w:rsidP="00262EE2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762"/>
        </w:tabs>
        <w:spacing w:after="200" w:line="254" w:lineRule="auto"/>
        <w:ind w:left="1380" w:firstLine="20"/>
      </w:pPr>
      <w:r>
        <w:t>Материальная помощь</w:t>
      </w:r>
    </w:p>
    <w:p w:rsidR="00262EE2" w:rsidRDefault="00262EE2" w:rsidP="00262EE2">
      <w:pPr>
        <w:pStyle w:val="1"/>
        <w:shd w:val="clear" w:color="auto" w:fill="auto"/>
        <w:spacing w:after="460" w:line="286" w:lineRule="auto"/>
        <w:ind w:firstLine="0"/>
      </w:pPr>
      <w:r>
        <w:t>Работникам выплачивается материальная помощь в размере двух окладов в год.</w:t>
      </w:r>
    </w:p>
    <w:p w:rsidR="00262EE2" w:rsidRDefault="00262EE2" w:rsidP="00262EE2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762"/>
        </w:tabs>
        <w:spacing w:after="300" w:line="254" w:lineRule="auto"/>
        <w:ind w:left="1380" w:firstLine="20"/>
      </w:pPr>
      <w:r>
        <w:t>Формирование фонда оплаты труда учреждения</w:t>
      </w:r>
    </w:p>
    <w:p w:rsidR="00262EE2" w:rsidRDefault="00262EE2" w:rsidP="004C3FAD">
      <w:pPr>
        <w:pStyle w:val="1"/>
        <w:shd w:val="clear" w:color="auto" w:fill="auto"/>
        <w:ind w:firstLine="720"/>
      </w:pPr>
      <w:r>
        <w:t>5.1. Фонд оплаты труда работников «Хозяйственная группа»</w:t>
      </w:r>
      <w:r w:rsidR="00EB57D4">
        <w:t xml:space="preserve">формируется на календарный год за счет среднего бюджетного муниципального образования </w:t>
      </w:r>
    </w:p>
    <w:p w:rsidR="00262EE2" w:rsidRDefault="00262EE2" w:rsidP="00262EE2">
      <w:pPr>
        <w:pStyle w:val="1"/>
        <w:shd w:val="clear" w:color="auto" w:fill="auto"/>
        <w:ind w:firstLine="0"/>
      </w:pPr>
      <w:r>
        <w:t xml:space="preserve">образования </w:t>
      </w:r>
      <w:r w:rsidR="00945A29">
        <w:t xml:space="preserve">Луковский сельсовет </w:t>
      </w:r>
      <w:r>
        <w:t>Панкрушихинск</w:t>
      </w:r>
      <w:r w:rsidR="00945A29">
        <w:t>ого</w:t>
      </w:r>
      <w:r>
        <w:t xml:space="preserve"> район</w:t>
      </w:r>
      <w:r w:rsidR="00945A29">
        <w:t>а</w:t>
      </w:r>
      <w:r>
        <w:t xml:space="preserve"> в пределах выделенных бюджетных ассигнований и лимитов бюджетных обязательств.</w:t>
      </w:r>
    </w:p>
    <w:p w:rsidR="00262EE2" w:rsidRDefault="00262EE2" w:rsidP="00262EE2">
      <w:pPr>
        <w:pStyle w:val="1"/>
        <w:numPr>
          <w:ilvl w:val="0"/>
          <w:numId w:val="8"/>
        </w:numPr>
        <w:shd w:val="clear" w:color="auto" w:fill="auto"/>
        <w:tabs>
          <w:tab w:val="left" w:pos="1247"/>
        </w:tabs>
        <w:spacing w:after="300"/>
        <w:ind w:firstLine="700"/>
      </w:pPr>
      <w:r>
        <w:t xml:space="preserve">Индексация размеров должностных окладов осуществляется в соответствии с решением </w:t>
      </w:r>
      <w:r w:rsidR="00945A29">
        <w:t>Луковского сельского</w:t>
      </w:r>
      <w:r>
        <w:t xml:space="preserve"> Совета депутатов о бюджете </w:t>
      </w:r>
      <w:r>
        <w:lastRenderedPageBreak/>
        <w:t xml:space="preserve">муниципального образования </w:t>
      </w:r>
      <w:r w:rsidR="00945A29">
        <w:t xml:space="preserve">Луковский сельсовет </w:t>
      </w:r>
      <w:r>
        <w:t>Панкрушихинск</w:t>
      </w:r>
      <w:r w:rsidR="00945A29">
        <w:t>ого</w:t>
      </w:r>
      <w:r>
        <w:t xml:space="preserve"> район</w:t>
      </w:r>
      <w:r w:rsidR="00945A29">
        <w:t xml:space="preserve">а Алтайского края </w:t>
      </w:r>
      <w:r>
        <w:t xml:space="preserve"> на соответствующий финансовый год.</w:t>
      </w:r>
    </w:p>
    <w:p w:rsidR="00262EE2" w:rsidRDefault="00262EE2" w:rsidP="00262EE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6. Другие вопросы оплаты труда</w:t>
      </w:r>
    </w:p>
    <w:p w:rsidR="00262EE2" w:rsidRDefault="00262EE2" w:rsidP="00262EE2">
      <w:pPr>
        <w:pStyle w:val="1"/>
        <w:numPr>
          <w:ilvl w:val="0"/>
          <w:numId w:val="9"/>
        </w:numPr>
        <w:shd w:val="clear" w:color="auto" w:fill="auto"/>
        <w:tabs>
          <w:tab w:val="left" w:pos="1237"/>
        </w:tabs>
        <w:spacing w:line="269" w:lineRule="auto"/>
        <w:ind w:firstLine="700"/>
      </w:pPr>
      <w:r>
        <w:t>Оплата труда работников на условиях неполного рабочего времени или неполной рабочей недели производится пропорционально отработанному времени.</w:t>
      </w:r>
    </w:p>
    <w:p w:rsidR="00262EE2" w:rsidRDefault="00262EE2" w:rsidP="00262EE2">
      <w:pPr>
        <w:pStyle w:val="1"/>
        <w:numPr>
          <w:ilvl w:val="0"/>
          <w:numId w:val="9"/>
        </w:numPr>
        <w:shd w:val="clear" w:color="auto" w:fill="auto"/>
        <w:tabs>
          <w:tab w:val="left" w:pos="1255"/>
        </w:tabs>
        <w:spacing w:line="269" w:lineRule="auto"/>
        <w:ind w:firstLine="700"/>
        <w:sectPr w:rsidR="00262EE2" w:rsidSect="00EB57D4">
          <w:headerReference w:type="default" r:id="rId7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t>Экономия по фонду оплаты труда в конце календарного года может быть направлена на единовременное премирование по итогам работы за год.</w:t>
      </w:r>
    </w:p>
    <w:p w:rsidR="00262EE2" w:rsidRDefault="00262EE2" w:rsidP="00262EE2">
      <w:pPr>
        <w:pStyle w:val="1"/>
        <w:shd w:val="clear" w:color="auto" w:fill="auto"/>
        <w:tabs>
          <w:tab w:val="left" w:pos="1216"/>
        </w:tabs>
        <w:spacing w:after="260" w:line="262" w:lineRule="auto"/>
        <w:ind w:firstLine="0"/>
      </w:pPr>
    </w:p>
    <w:sectPr w:rsidR="00262EE2" w:rsidSect="000D5A5D">
      <w:pgSz w:w="11900" w:h="16840"/>
      <w:pgMar w:top="1119" w:right="1650" w:bottom="1119" w:left="800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13" w:rsidRDefault="00374D13" w:rsidP="000D5A5D">
      <w:r>
        <w:separator/>
      </w:r>
    </w:p>
  </w:endnote>
  <w:endnote w:type="continuationSeparator" w:id="1">
    <w:p w:rsidR="00374D13" w:rsidRDefault="00374D13" w:rsidP="000D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13" w:rsidRDefault="00374D13"/>
  </w:footnote>
  <w:footnote w:type="continuationSeparator" w:id="1">
    <w:p w:rsidR="00374D13" w:rsidRDefault="00374D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2" w:rsidRDefault="00523648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7pt;margin-top:21.5pt;width:10.3pt;height:6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62EE2" w:rsidRDefault="00262EE2">
                <w:pPr>
                  <w:pStyle w:val="22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iCs/>
                    <w:color w:val="000000"/>
                    <w:sz w:val="17"/>
                    <w:szCs w:val="17"/>
                  </w:rPr>
                  <w:t>&amp;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319"/>
    <w:multiLevelType w:val="multilevel"/>
    <w:tmpl w:val="F04086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309A"/>
    <w:multiLevelType w:val="multilevel"/>
    <w:tmpl w:val="ABD0FA3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17EF"/>
    <w:multiLevelType w:val="multilevel"/>
    <w:tmpl w:val="B246CE5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2DAE"/>
    <w:multiLevelType w:val="multilevel"/>
    <w:tmpl w:val="59AC81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54A8D"/>
    <w:multiLevelType w:val="multilevel"/>
    <w:tmpl w:val="916C7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D2DCD"/>
    <w:multiLevelType w:val="multilevel"/>
    <w:tmpl w:val="9766B3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E5DE3"/>
    <w:multiLevelType w:val="multilevel"/>
    <w:tmpl w:val="138E9E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147F6"/>
    <w:multiLevelType w:val="multilevel"/>
    <w:tmpl w:val="04C66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43920"/>
    <w:multiLevelType w:val="multilevel"/>
    <w:tmpl w:val="799E42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D5A5D"/>
    <w:rsid w:val="00044C13"/>
    <w:rsid w:val="00050E80"/>
    <w:rsid w:val="0006586B"/>
    <w:rsid w:val="000D5A5D"/>
    <w:rsid w:val="00110648"/>
    <w:rsid w:val="00164A2F"/>
    <w:rsid w:val="00262EE2"/>
    <w:rsid w:val="0032697F"/>
    <w:rsid w:val="00374D13"/>
    <w:rsid w:val="004C3FAD"/>
    <w:rsid w:val="00523648"/>
    <w:rsid w:val="005C6C05"/>
    <w:rsid w:val="006D5D2C"/>
    <w:rsid w:val="007462FE"/>
    <w:rsid w:val="00813325"/>
    <w:rsid w:val="00891E89"/>
    <w:rsid w:val="00945A29"/>
    <w:rsid w:val="00B0134D"/>
    <w:rsid w:val="00CD32D4"/>
    <w:rsid w:val="00D74125"/>
    <w:rsid w:val="00EB57D4"/>
    <w:rsid w:val="00EE3861"/>
    <w:rsid w:val="00FA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5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D5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0D5A5D"/>
    <w:pPr>
      <w:shd w:val="clear" w:color="auto" w:fill="FFFFFF"/>
      <w:spacing w:line="257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D5A5D"/>
    <w:pPr>
      <w:shd w:val="clear" w:color="auto" w:fill="FFFFFF"/>
      <w:spacing w:after="390" w:line="259" w:lineRule="auto"/>
      <w:ind w:left="6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262E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62E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262EE2"/>
    <w:pPr>
      <w:shd w:val="clear" w:color="auto" w:fill="FFFFFF"/>
      <w:spacing w:line="257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7">
    <w:name w:val="Подпись к таблице"/>
    <w:basedOn w:val="a"/>
    <w:link w:val="a6"/>
    <w:rsid w:val="00262EE2"/>
    <w:pPr>
      <w:shd w:val="clear" w:color="auto" w:fill="FFFFFF"/>
      <w:spacing w:line="257" w:lineRule="auto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262E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EE2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21">
    <w:name w:val="Колонтитул (2)_"/>
    <w:basedOn w:val="a0"/>
    <w:link w:val="22"/>
    <w:rsid w:val="00262E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262E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2019-05-16T08:02:00Z</dcterms:created>
  <dcterms:modified xsi:type="dcterms:W3CDTF">2019-06-18T02:09:00Z</dcterms:modified>
</cp:coreProperties>
</file>